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527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25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26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назначенный на 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28rplc-2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с протоколом согласилась.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29rplc-2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7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1020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оценены в совокупности с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26.2 Кодекса Российской Федерации об административных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</w:t>
      </w:r>
      <w:r>
        <w:rPr>
          <w:rFonts w:ascii="Times New Roman" w:eastAsia="Times New Roman" w:hAnsi="Times New Roman" w:cs="Times New Roman"/>
          <w:sz w:val="28"/>
          <w:szCs w:val="28"/>
        </w:rPr>
        <w:t>доказана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2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20.25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 сроком на 3 (трое) 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11: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11.09.2025 г.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1232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6">
    <w:name w:val="cat-UserDefined grp-26 rplc-16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UserDefinedgrp-28rplc-24">
    <w:name w:val="cat-UserDefined grp-28 rplc-24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27rplc-29">
    <w:name w:val="cat-UserDefined grp-27 rplc-29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UserDefinedgrp-32rplc-35">
    <w:name w:val="cat-UserDefined grp-32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50B59-DCEB-4050-A6E1-88361F993E0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